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media/image1.png" ContentType="image/png"/>
  <Override PartName="/word/media/image2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jc w:val="both"/>
        <w:rPr>
          <w:rFonts w:ascii="TT15Ct00" w:hAnsi="TT15Ct00" w:cs="TT15Ct00"/>
          <w:color w:val="000000"/>
          <w:sz w:val="28"/>
          <w:szCs w:val="28"/>
        </w:rPr>
      </w:pPr>
      <w:r>
        <w:rPr>
          <w:rFonts w:cs="TT15Ct00" w:ascii="TT15Ct00" w:hAnsi="TT15Ct00"/>
          <w:color w:val="000000"/>
          <w:sz w:val="28"/>
          <w:szCs w:val="28"/>
        </w:rPr>
      </w:r>
    </w:p>
    <w:p>
      <w:pPr>
        <w:pStyle w:val="Normal"/>
        <w:spacing w:lineRule="auto" w:line="240" w:before="0" w:after="0"/>
        <w:jc w:val="center"/>
        <w:rPr/>
      </w:pPr>
      <w:r>
        <w:rPr>
          <w:rFonts w:cs="Arial" w:ascii="Arial" w:hAnsi="Arial"/>
          <w:b/>
          <w:color w:val="000000"/>
          <w:sz w:val="28"/>
          <w:szCs w:val="28"/>
        </w:rPr>
        <w:t>MEMORIAL DESCRITIVO</w:t>
      </w:r>
    </w:p>
    <w:p>
      <w:pPr>
        <w:pStyle w:val="Normal"/>
        <w:spacing w:lineRule="auto" w:line="240" w:before="0" w:after="0"/>
        <w:jc w:val="center"/>
        <w:rPr>
          <w:rFonts w:ascii="Arial" w:hAnsi="Arial" w:cs="Arial"/>
          <w:color w:val="000000"/>
          <w:sz w:val="20"/>
          <w:szCs w:val="20"/>
        </w:rPr>
      </w:pPr>
      <w:r>
        <w:rPr>
          <w:rFonts w:cs="Arial" w:ascii="Arial" w:hAnsi="Arial"/>
          <w:color w:val="000000"/>
          <w:sz w:val="20"/>
          <w:szCs w:val="20"/>
        </w:rPr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color w:val="000000"/>
          <w:sz w:val="20"/>
          <w:szCs w:val="20"/>
        </w:rPr>
      </w:pPr>
      <w:r>
        <w:rPr>
          <w:rFonts w:cs="Arial" w:ascii="Arial" w:hAnsi="Arial"/>
          <w:color w:val="000000"/>
          <w:sz w:val="20"/>
          <w:szCs w:val="20"/>
        </w:rPr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color w:val="000000"/>
        </w:rPr>
      </w:pPr>
      <w:r>
        <w:rPr>
          <w:rFonts w:cs="Arial" w:ascii="Arial" w:hAnsi="Arial"/>
          <w:b/>
          <w:color w:val="000000"/>
          <w:sz w:val="24"/>
          <w:szCs w:val="24"/>
        </w:rPr>
        <w:t>OBRA:</w:t>
      </w:r>
      <w:r>
        <w:rPr>
          <w:rFonts w:cs="Arial" w:ascii="Arial" w:hAnsi="Arial"/>
          <w:color w:val="000000"/>
        </w:rPr>
        <w:t>Revitalização da praça Coronel Antônio Tanure</w:t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cs="Arial" w:ascii="Arial" w:hAnsi="Arial"/>
          <w:b/>
          <w:color w:val="000000"/>
          <w:sz w:val="24"/>
          <w:szCs w:val="24"/>
        </w:rPr>
        <w:t>LOCAL:</w:t>
      </w:r>
      <w:r>
        <w:rPr>
          <w:rFonts w:cs="Arial" w:ascii="Arial" w:hAnsi="Arial"/>
          <w:color w:val="000000"/>
        </w:rPr>
        <w:t xml:space="preserve">Rua </w:t>
      </w:r>
      <w:r>
        <w:rPr>
          <w:rFonts w:cs="Arial" w:ascii="Arial" w:hAnsi="Arial"/>
          <w:color w:val="000000"/>
        </w:rPr>
        <w:t>Dom Serafim</w:t>
      </w:r>
      <w:r>
        <w:rPr>
          <w:rFonts w:cs="Arial" w:ascii="Arial" w:hAnsi="Arial"/>
          <w:color w:val="000000"/>
        </w:rPr>
        <w:t>, Santa Tereza - Araçuaí/MG</w:t>
      </w:r>
    </w:p>
    <w:p>
      <w:pPr>
        <w:pStyle w:val="Normal"/>
        <w:spacing w:lineRule="auto" w:line="360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</w:r>
    </w:p>
    <w:p>
      <w:pPr>
        <w:pStyle w:val="Normal"/>
        <w:spacing w:lineRule="auto" w:line="360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  <w:t xml:space="preserve">1.0 - </w:t>
      </w:r>
      <w:r>
        <w:rPr>
          <w:rFonts w:cs="Arial" w:ascii="Arial" w:hAnsi="Arial"/>
          <w:b/>
          <w:sz w:val="24"/>
          <w:szCs w:val="24"/>
        </w:rPr>
        <w:t>INTRODUÇÃO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  <w:tab/>
        <w:t>As intervenções descritas a seguir foram elaboradas a partir dos levantamentos físicos e do diagnóstico realizado (junto a secretaria de meio ambiente), por se tratar de um Projeto de Revitalização de espaço público.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  <w:tab/>
        <w:t>Desta forma, dentro dos condicionantes que norteiam a proposta de intervenção para a edificação, foram consideradas as seguintes ações:</w:t>
      </w:r>
    </w:p>
    <w:p>
      <w:pPr>
        <w:pStyle w:val="Normal"/>
        <w:spacing w:lineRule="auto" w:line="360"/>
        <w:jc w:val="both"/>
        <w:rPr>
          <w:rFonts w:ascii="Arial" w:hAnsi="Arial" w:cs="Arial"/>
          <w:bCs/>
          <w:color w:val="251B18"/>
        </w:rPr>
      </w:pPr>
      <w:r>
        <w:rPr>
          <w:rFonts w:cs="Arial" w:ascii="Arial" w:hAnsi="Arial"/>
        </w:rPr>
        <w:tab/>
        <w:t>- As atividades a serem executadas serão: retirada do piso existente, regularização do piso para assentamento pavi s, demolição de canteiros e bancos, retirada de arvores existentes, afastamento dos entulhos (retirada por conta da prefeitura), canteiro de obras será montado utilizando a estrutura existente onde funciona a biblioteca hoje.</w:t>
      </w:r>
    </w:p>
    <w:p>
      <w:pPr>
        <w:pStyle w:val="Normal"/>
        <w:spacing w:lineRule="auto" w:line="360"/>
        <w:jc w:val="both"/>
        <w:rPr>
          <w:rFonts w:ascii="Arial" w:hAnsi="Arial" w:cs="Arial"/>
          <w:bCs/>
          <w:color w:val="251B18"/>
        </w:rPr>
      </w:pPr>
      <w:r>
        <w:rPr>
          <w:rFonts w:cs="Arial" w:ascii="Arial" w:hAnsi="Arial"/>
        </w:rPr>
        <w:tab/>
        <w:t>- A reconstrução da praça consiste em: troca do piso da praça, que se encontra deteriorado e gerando riscos aos transeuntes, além da ampliação dos espaços vazios em decorrência da retirada de vários canteiros;</w:t>
      </w:r>
    </w:p>
    <w:p>
      <w:pPr>
        <w:pStyle w:val="Normal"/>
        <w:spacing w:lineRule="auto" w:line="360"/>
        <w:jc w:val="both"/>
        <w:rPr>
          <w:rFonts w:ascii="Arial" w:hAnsi="Arial" w:cs="Arial"/>
          <w:bCs/>
          <w:color w:val="251B18"/>
        </w:rPr>
      </w:pPr>
      <w:r>
        <w:rPr>
          <w:rFonts w:cs="Arial" w:ascii="Arial" w:hAnsi="Arial"/>
          <w:bCs/>
          <w:color w:val="251B18"/>
        </w:rPr>
        <w:tab/>
        <w:t xml:space="preserve">- </w:t>
      </w:r>
      <w:r>
        <w:rPr>
          <w:rFonts w:cs="Arial" w:ascii="Arial" w:hAnsi="Arial"/>
        </w:rPr>
        <w:t>A recuperação dos elementos construtivos deteriorados, objetivando a conservação daquilo que esta de acordo com o layout da proposta para a praça;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  <w:bCs/>
          <w:color w:val="251B18"/>
        </w:rPr>
        <w:tab/>
        <w:t>- I</w:t>
      </w:r>
      <w:r>
        <w:rPr>
          <w:rFonts w:cs="Arial" w:ascii="Arial" w:hAnsi="Arial"/>
        </w:rPr>
        <w:t>ntrodução de novas espécies vegetativasobjetivando proporcionar conforto aos usuários e criando um “micro clima”.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  <w:tab/>
        <w:t>- Restauração da quadra de esportes com troca de alambrado e nova pintura;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  <w:tab/>
        <w:t>- Criação de uma arquibancada no desnível da praça com intuito de firmar a identidade local (várias manifestações artísticas ocorrem neste espaço)</w:t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b/>
          <w:b/>
          <w:sz w:val="24"/>
          <w:szCs w:val="24"/>
        </w:rPr>
      </w:pPr>
      <w:r>
        <w:rPr/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b/>
          <w:b/>
          <w:sz w:val="24"/>
          <w:szCs w:val="24"/>
        </w:rPr>
      </w:pPr>
      <w:r>
        <w:rPr/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  <w:t xml:space="preserve">2.0 - </w:t>
      </w:r>
      <w:r>
        <w:rPr>
          <w:rFonts w:cs="Arial" w:ascii="Arial" w:hAnsi="Arial"/>
          <w:b/>
          <w:sz w:val="24"/>
          <w:szCs w:val="24"/>
        </w:rPr>
        <w:t>PROJETO ARQUITETÔNICO/PAISAGISTICO</w:t>
      </w:r>
    </w:p>
    <w:p>
      <w:pPr>
        <w:pStyle w:val="Normal"/>
        <w:spacing w:lineRule="auto" w:line="36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  <w:tab/>
        <w:t>A Praça Coronel Antônio Tanureesta localizada em um dos bairros mais antigos da cidade, surgiu da necessidade da população de um espaço de lazer e cultura, com desenho proposto pelos estudantes da antiga escola de agrimensura da cidade. A idéia de agregar esporte e lazer cumpriu sua função social no espaço público por muitos anos (mais de 20) porém com o tempo a qualidade do uso do espaço diminuiu e os usuários começaram a apropriar -se da forma como o entendiam/gostariam. Hoje a demanda do espaço em questão ampliou e com isso o layout ou desenho se tornou insuficiente mediante os anseios dos usuários. O excesso de canteiros impossibilita a circulação de pessoas, bicicletas, skate e animais, a proposta é trabalhar melhor os espaços vazios e potencializar a apropriação das pessoas quanto ao lugar. A quadra devido ao grande fluxo de pessoas necessita de uma manutenção dos equipamentos e troca dos alambrados e portão, além da pintura das muretas existentes.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  <w:tab/>
        <w:t>As novas espécies arbóreas foram pensadas para criar um “micro clima” na praça o que a população clama para nossa cidade que registra temperaturas altíssimas, além do embelezamento e diversidade a proliferação de sementes de espécies nativas e de cultivo fácil.</w:t>
      </w:r>
    </w:p>
    <w:p>
      <w:pPr>
        <w:pStyle w:val="Normal"/>
        <w:spacing w:lineRule="auto" w:line="360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</w:r>
    </w:p>
    <w:p>
      <w:pPr>
        <w:pStyle w:val="Normal"/>
        <w:spacing w:lineRule="auto" w:line="360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  <w:t xml:space="preserve">3.0 - </w:t>
      </w:r>
      <w:r>
        <w:rPr>
          <w:rFonts w:cs="Arial" w:ascii="Arial" w:hAnsi="Arial"/>
          <w:b/>
          <w:sz w:val="24"/>
          <w:szCs w:val="24"/>
        </w:rPr>
        <w:t>ESPECIFICAÇÕES E RECOMENDAÇÕES TÉCNICAS</w:t>
      </w:r>
    </w:p>
    <w:p>
      <w:pPr>
        <w:pStyle w:val="Normal"/>
        <w:spacing w:lineRule="auto" w:line="360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  <w:t>3.1 -</w:t>
      </w:r>
      <w:r>
        <w:rPr>
          <w:rFonts w:cs="Arial" w:ascii="Arial" w:hAnsi="Arial"/>
          <w:b/>
          <w:sz w:val="24"/>
          <w:szCs w:val="24"/>
        </w:rPr>
        <w:t xml:space="preserve"> OBSERVAÇÕES GERAIS:</w:t>
      </w:r>
    </w:p>
    <w:p>
      <w:pPr>
        <w:pStyle w:val="Normal"/>
        <w:spacing w:lineRule="auto" w:line="360"/>
        <w:jc w:val="both"/>
        <w:rPr>
          <w:rFonts w:ascii="Arial" w:hAnsi="Arial" w:cs="Arial"/>
          <w:bCs/>
          <w:iCs/>
        </w:rPr>
      </w:pPr>
      <w:r>
        <w:rPr>
          <w:rFonts w:cs="Arial" w:ascii="Arial" w:hAnsi="Arial"/>
          <w:bCs/>
          <w:iCs/>
        </w:rPr>
        <w:t xml:space="preserve">Durante a execução das obras: </w:t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  <w:t xml:space="preserve">- Levar, imediatamente, ao conhecimento do Contratante e da Fiscalização qualquer fato extraordinário ou anormal que ocorra durante o cumprimento do contrato, para adoção imediata das medidas cabíveis; </w:t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  <w:t>- Todos os materiais a empregar nas obras deverão ser novos, comprovadamente de primeira qualidade, devendo satisfazer rigorosamente as especificações do Projeto;</w:t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  <w:t>- Se eventualmente condições ou circunstâncias indicarem a substituição de algum material especificado no presente Caderno de Encargos, a troca só poderá ser efetivada com a aprovação por escrito da Fiscalização, ouvido o autor do projeto;</w:t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  <w:t>- A substituição, quando aceita, será regida pelo critério de analogia ou similaridade;</w:t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color w:val="000000"/>
        </w:rPr>
      </w:pPr>
      <w:r>
        <w:rPr>
          <w:rFonts w:cs="Arial" w:ascii="Arial" w:hAnsi="Arial"/>
          <w:color w:val="251B18"/>
        </w:rPr>
        <w:t xml:space="preserve">- Para o caso, considera-se analogia total ou equivalência quando o material desempenha idêntica função construtiva e apresenta as mesmas características técnicas.  </w:t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color w:val="008080"/>
        </w:rPr>
      </w:pPr>
      <w:r>
        <w:rPr>
          <w:rFonts w:cs="Arial" w:ascii="Arial" w:hAnsi="Arial"/>
          <w:color w:val="008080"/>
        </w:rPr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  <w:t>- Em caso de equivalência, a substituição se dará sem compensação financeira para as partes;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  <w:t>- Antes do início dos trabalhos, todo o pessoal do canteiro de obras deverá ser amplamente informado sobre a especificidade dos serviços, cuidados com os procedimentos e orientações a serem prestadas pela fiscalização e assessoria;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  <w:t>- A descoberta de qualquer elemento estranho no interior dos pisos ou alvenarias, bem como inscrições, pinturas decorativas trincas e riscos de comprometimento ao monumento, deverão ser comunicados imediatamente ao responsável pela coordenação da obra para a tomada das providências necessárias;</w:t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color w:val="008080"/>
        </w:rPr>
      </w:pPr>
      <w:r>
        <w:rPr>
          <w:rFonts w:cs="Arial" w:ascii="Arial" w:hAnsi="Arial"/>
        </w:rPr>
        <w:t xml:space="preserve">- Somente operário e pessoal autorizado pelo Responsável Técnico deverá permanecer nocanteiro de obras. </w:t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color w:val="008080"/>
        </w:rPr>
      </w:pPr>
      <w:r>
        <w:rPr>
          <w:rFonts w:cs="Arial" w:ascii="Arial" w:hAnsi="Arial"/>
          <w:color w:val="008080"/>
        </w:rPr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</w:rPr>
      </w:pPr>
      <w:r>
        <w:rPr>
          <w:rFonts w:cs="Arial" w:ascii="Arial" w:hAnsi="Arial"/>
        </w:rPr>
        <w:t xml:space="preserve">- Não deverá ser permitido o preparo de argamassas sobre pisos internos ou nos passeios, nem o acúmulo de materiais e entulho no interior do monumento. </w:t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numPr>
          <w:ilvl w:val="0"/>
          <w:numId w:val="1"/>
        </w:numPr>
        <w:spacing w:lineRule="auto" w:line="360" w:before="0" w:after="0"/>
        <w:jc w:val="both"/>
        <w:rPr>
          <w:rFonts w:ascii="Arial" w:hAnsi="Arial" w:cs="Arial"/>
          <w:b/>
          <w:b/>
          <w:color w:val="251B18"/>
        </w:rPr>
      </w:pPr>
      <w:r>
        <w:rPr>
          <w:rFonts w:cs="Arial" w:ascii="Arial" w:hAnsi="Arial"/>
          <w:b/>
          <w:color w:val="251B18"/>
        </w:rPr>
        <w:t>Compete à Contratada:</w:t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  <w:t>- Fornecer todo o ferramental, maquinaria, equipamentos e aparelhamentos, adequados à perfeita execução da obra contratada, assim como a manutenção e conservação do canteiro e suas instalações até a conclusão dos serviços;</w:t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  <w:t>- Apresentar documentação que atenda aos termos da legislação vigente e, junto ao CREA, a “Anotação de Responsabilidade Técnica” – ART</w:t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  <w:t>- Proceder à limpeza periódica da obra, com a remoção do entulho resultante tanto do interior, como do canteiro de serviço.</w:t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</w:r>
    </w:p>
    <w:p>
      <w:pPr>
        <w:pStyle w:val="Normal"/>
        <w:spacing w:lineRule="auto" w:line="360"/>
        <w:jc w:val="both"/>
        <w:rPr>
          <w:rFonts w:ascii="Arial" w:hAnsi="Arial" w:cs="Arial"/>
          <w:color w:val="251B18"/>
        </w:rPr>
      </w:pPr>
      <w:r>
        <w:rPr>
          <w:rFonts w:cs="Arial" w:ascii="Arial" w:hAnsi="Arial"/>
          <w:color w:val="251B18"/>
        </w:rPr>
      </w:r>
    </w:p>
    <w:p>
      <w:pPr>
        <w:pStyle w:val="Normal"/>
        <w:spacing w:lineRule="auto" w:line="360"/>
        <w:jc w:val="both"/>
        <w:rPr>
          <w:rFonts w:ascii="Arial" w:hAnsi="Arial" w:cs="Arial"/>
          <w:b/>
          <w:b/>
          <w:sz w:val="24"/>
          <w:szCs w:val="24"/>
        </w:rPr>
      </w:pPr>
      <w:r>
        <w:rPr>
          <w:rFonts w:cs="Arial" w:ascii="Arial" w:hAnsi="Arial"/>
          <w:b/>
          <w:sz w:val="24"/>
          <w:szCs w:val="24"/>
        </w:rPr>
        <w:t xml:space="preserve">3.2 - </w:t>
      </w:r>
      <w:r>
        <w:rPr>
          <w:rFonts w:cs="Arial" w:ascii="Arial" w:hAnsi="Arial"/>
          <w:b/>
          <w:sz w:val="24"/>
          <w:szCs w:val="24"/>
        </w:rPr>
        <w:t>TÉCNICAS E MATERIAIS: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  <w:tab/>
        <w:t>As técnicas e os materiais deverão estar rigorosamente de acordo com o estabelecido pelo projeto, considerando todos dos documentos que façam parte integrante do projeto referente à obra.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  <w:tab/>
        <w:t>Qualquer elemento removido de seu lugar original deve ter registrada a sua locação para que sua recolocação se faça na mesma posição anterior.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</w:rPr>
        <w:tab/>
        <w:t>Quando não constar na documentação da obra a especificação técnica e de materiais de qualquer serviço, este somente poderá ser iniciado após a consulta aos autores dos projetos, para traçar as diretrizes para execução do mesmo.</w:t>
      </w:r>
    </w:p>
    <w:p>
      <w:pPr>
        <w:pStyle w:val="Normal"/>
        <w:spacing w:lineRule="auto" w:line="360" w:before="0" w:after="0"/>
        <w:jc w:val="both"/>
        <w:rPr>
          <w:rFonts w:ascii="Arial" w:hAnsi="Arial" w:eastAsia="Times New Roman" w:cs="Arial"/>
          <w:b/>
          <w:b/>
          <w:bCs/>
          <w:sz w:val="24"/>
          <w:szCs w:val="24"/>
          <w:lang w:eastAsia="pt-BR"/>
        </w:rPr>
      </w:pPr>
      <w:r>
        <w:rPr>
          <w:rFonts w:eastAsia="Times New Roman" w:cs="Arial" w:ascii="Arial" w:hAnsi="Arial"/>
          <w:b/>
          <w:bCs/>
          <w:sz w:val="24"/>
          <w:szCs w:val="24"/>
          <w:lang w:eastAsia="pt-BR"/>
        </w:rPr>
        <w:t xml:space="preserve">3.3 – </w:t>
      </w:r>
      <w:r>
        <w:rPr>
          <w:rFonts w:eastAsia="Times New Roman" w:cs="Arial" w:ascii="Arial" w:hAnsi="Arial"/>
          <w:b/>
          <w:bCs/>
          <w:sz w:val="24"/>
          <w:szCs w:val="24"/>
          <w:lang w:eastAsia="pt-BR"/>
        </w:rPr>
        <w:t>PISO:</w:t>
      </w:r>
    </w:p>
    <w:p>
      <w:pPr>
        <w:pStyle w:val="Normal"/>
        <w:spacing w:lineRule="auto" w:line="360" w:before="0" w:after="0"/>
        <w:jc w:val="both"/>
        <w:rPr>
          <w:rFonts w:ascii="Arial" w:hAnsi="Arial" w:eastAsia="Times New Roman" w:cs="Arial"/>
          <w:b/>
          <w:b/>
          <w:bCs/>
          <w:sz w:val="24"/>
          <w:szCs w:val="24"/>
          <w:lang w:eastAsia="pt-BR"/>
        </w:rPr>
      </w:pPr>
      <w:r>
        <w:rPr/>
      </w:r>
    </w:p>
    <w:p>
      <w:pPr>
        <w:pStyle w:val="Normal"/>
        <w:spacing w:lineRule="auto" w:line="360" w:before="0" w:after="0"/>
        <w:jc w:val="both"/>
        <w:rPr>
          <w:rFonts w:ascii="Arial" w:hAnsi="Arial" w:eastAsia="Times New Roman" w:cs="Arial"/>
          <w:bCs/>
          <w:lang w:eastAsia="pt-BR"/>
        </w:rPr>
      </w:pPr>
      <w:r>
        <w:rPr>
          <w:rFonts w:eastAsia="Times New Roman" w:cs="Arial" w:ascii="Arial" w:hAnsi="Arial"/>
          <w:bCs/>
          <w:lang w:eastAsia="pt-BR"/>
        </w:rPr>
        <w:tab/>
        <w:t>Devido ao desgaste do cimento rústico e interferências de raízes de arvores sera necessária a troca do piso e regularização do contra piso.</w:t>
      </w:r>
    </w:p>
    <w:p>
      <w:pPr>
        <w:pStyle w:val="Normal"/>
        <w:spacing w:lineRule="auto" w:line="360" w:before="0" w:after="0"/>
        <w:jc w:val="both"/>
        <w:rPr>
          <w:rFonts w:ascii="Arial" w:hAnsi="Arial" w:eastAsia="Times New Roman" w:cs="Arial"/>
          <w:bCs/>
          <w:lang w:eastAsia="pt-BR"/>
        </w:rPr>
      </w:pPr>
      <w:r>
        <w:rPr>
          <w:rFonts w:eastAsia="Times New Roman" w:cs="Arial" w:ascii="Arial" w:hAnsi="Arial"/>
          <w:bCs/>
          <w:lang w:eastAsia="pt-BR"/>
        </w:rPr>
      </w:r>
    </w:p>
    <w:p>
      <w:pPr>
        <w:pStyle w:val="BodyText2"/>
        <w:spacing w:lineRule="auto" w:line="360"/>
        <w:jc w:val="both"/>
        <w:rPr>
          <w:rFonts w:ascii="Arial" w:hAnsi="Arial" w:cs="Arial"/>
          <w:bCs/>
          <w:sz w:val="22"/>
          <w:szCs w:val="22"/>
        </w:rPr>
      </w:pPr>
      <w:r>
        <w:rPr>
          <w:rFonts w:cs="Arial" w:ascii="Arial" w:hAnsi="Arial"/>
          <w:bCs/>
          <w:sz w:val="22"/>
          <w:szCs w:val="22"/>
        </w:rPr>
        <w:t>Com isso a execução acontecerá em duas fases, a primeira que será a demolição do piso e limpeza da área, e a segunda será a etapa para a execução do piso pavi s.</w:t>
      </w:r>
    </w:p>
    <w:p>
      <w:pPr>
        <w:pStyle w:val="BodyText2"/>
        <w:spacing w:lineRule="auto" w:line="360"/>
        <w:jc w:val="both"/>
        <w:rPr>
          <w:rFonts w:ascii="Arial" w:hAnsi="Arial" w:cs="Arial"/>
          <w:b/>
          <w:b/>
          <w:bCs/>
          <w:sz w:val="22"/>
          <w:szCs w:val="22"/>
        </w:rPr>
      </w:pPr>
      <w:r>
        <w:rPr/>
      </w:r>
    </w:p>
    <w:p>
      <w:pPr>
        <w:pStyle w:val="BodyText2"/>
        <w:spacing w:lineRule="auto" w:line="360"/>
        <w:jc w:val="both"/>
        <w:rPr>
          <w:rFonts w:ascii="Arial" w:hAnsi="Arial" w:cs="Arial"/>
          <w:b/>
          <w:b/>
          <w:bCs/>
          <w:sz w:val="22"/>
          <w:szCs w:val="22"/>
        </w:rPr>
      </w:pPr>
      <w:r>
        <w:rPr>
          <w:rFonts w:cs="Arial" w:ascii="Arial" w:hAnsi="Arial"/>
          <w:b/>
          <w:bCs/>
          <w:sz w:val="22"/>
          <w:szCs w:val="22"/>
        </w:rPr>
        <w:t xml:space="preserve">3.4 - </w:t>
      </w:r>
      <w:r>
        <w:rPr>
          <w:rFonts w:cs="Arial" w:ascii="Arial" w:hAnsi="Arial"/>
          <w:b/>
          <w:bCs/>
          <w:sz w:val="22"/>
          <w:szCs w:val="22"/>
        </w:rPr>
        <w:t>VEGETAÇÃO:</w:t>
      </w:r>
    </w:p>
    <w:p>
      <w:pPr>
        <w:pStyle w:val="Normal"/>
        <w:shd w:val="clear" w:color="auto" w:fill="FFFFFF"/>
        <w:spacing w:lineRule="auto" w:line="360" w:before="120" w:after="120"/>
        <w:rPr>
          <w:rFonts w:ascii="Arial" w:hAnsi="Arial" w:eastAsia="Times New Roman" w:cs="Arial"/>
          <w:color w:val="222222"/>
          <w:lang w:eastAsia="pt-BR"/>
        </w:rPr>
      </w:pPr>
      <w:r>
        <w:rPr>
          <w:rFonts w:eastAsia="Times New Roman" w:cs="Arial" w:ascii="Arial" w:hAnsi="Arial"/>
          <w:color w:val="222222"/>
          <w:lang w:eastAsia="pt-BR"/>
        </w:rPr>
        <w:tab/>
        <w:t>A relação de espécies para arborização de praça Coronel AntonioTanure no Município de Araçuaí devera seguir a seguinte descrição e quantitativos:</w:t>
      </w:r>
    </w:p>
    <w:p>
      <w:pPr>
        <w:pStyle w:val="Normal"/>
        <w:shd w:val="clear" w:color="auto" w:fill="FFFFFF"/>
        <w:spacing w:lineRule="auto" w:line="240" w:before="0" w:after="0"/>
        <w:rPr>
          <w:rFonts w:ascii="Arial" w:hAnsi="Arial" w:eastAsia="Times New Roman" w:cs="Arial"/>
          <w:color w:val="222222"/>
          <w:sz w:val="24"/>
          <w:szCs w:val="24"/>
          <w:lang w:eastAsia="pt-BR"/>
        </w:rPr>
      </w:pPr>
      <w:r>
        <w:rPr>
          <w:rFonts w:eastAsia="Times New Roman" w:cs="Arial" w:ascii="Arial" w:hAnsi="Arial"/>
          <w:color w:val="222222"/>
          <w:sz w:val="24"/>
          <w:szCs w:val="24"/>
          <w:lang w:eastAsia="pt-BR"/>
        </w:rPr>
      </w:r>
    </w:p>
    <w:tbl>
      <w:tblPr>
        <w:tblpPr w:bottomFromText="0" w:horzAnchor="text" w:leftFromText="141" w:rightFromText="141" w:tblpX="0" w:tblpY="0" w:topFromText="0" w:vertAnchor="text"/>
        <w:tblW w:w="9554" w:type="dxa"/>
        <w:jc w:val="left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1086"/>
        <w:gridCol w:w="2176"/>
        <w:gridCol w:w="5208"/>
        <w:gridCol w:w="1083"/>
      </w:tblGrid>
      <w:tr>
        <w:trPr>
          <w:trHeight w:val="501" w:hRule="atLeast"/>
        </w:trPr>
        <w:tc>
          <w:tcPr>
            <w:tcW w:w="10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217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ITEM</w:t>
            </w:r>
          </w:p>
        </w:tc>
        <w:tc>
          <w:tcPr>
            <w:tcW w:w="5208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DESCRIÇÃO DA MERCADORIA</w:t>
            </w:r>
          </w:p>
        </w:tc>
        <w:tc>
          <w:tcPr>
            <w:tcW w:w="1083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QUANT</w:t>
            </w:r>
          </w:p>
        </w:tc>
      </w:tr>
      <w:tr>
        <w:trPr/>
        <w:tc>
          <w:tcPr>
            <w:tcW w:w="108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1.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         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21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PALMEIRA RABO DE RAPOSA</w:t>
            </w:r>
          </w:p>
        </w:tc>
        <w:tc>
          <w:tcPr>
            <w:tcW w:w="520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Nome popular: Palmeira Rabo de Raposa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Nome científico: Wodyetiabifurcata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Família: Arecaceae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Origem: Austrália, Oceania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Ciclo de vida: Perene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Altura da árvore: a partir de 5 metros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DAP:  a partir de 15.7 cm</w:t>
            </w:r>
          </w:p>
        </w:tc>
        <w:tc>
          <w:tcPr>
            <w:tcW w:w="108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08</w:t>
            </w:r>
          </w:p>
        </w:tc>
      </w:tr>
      <w:tr>
        <w:trPr/>
        <w:tc>
          <w:tcPr>
            <w:tcW w:w="108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2.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         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21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pt-BR"/>
              </w:rPr>
              <w:t>PAU-FERRO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 </w:t>
            </w:r>
          </w:p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520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ind w:left="708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Nome popular: Pau Ferro</w:t>
            </w:r>
          </w:p>
          <w:p>
            <w:pPr>
              <w:pStyle w:val="Normal"/>
              <w:widowControl w:val="false"/>
              <w:spacing w:lineRule="auto" w:line="240" w:before="0" w:after="0"/>
              <w:ind w:left="708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Nome científico: CaesalpiniaFerrea</w:t>
            </w:r>
          </w:p>
          <w:p>
            <w:pPr>
              <w:pStyle w:val="Normal"/>
              <w:widowControl w:val="false"/>
              <w:spacing w:lineRule="auto" w:line="240" w:before="0" w:after="0"/>
              <w:ind w:left="708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Família: Fabaceae</w:t>
            </w:r>
          </w:p>
          <w:p>
            <w:pPr>
              <w:pStyle w:val="Normal"/>
              <w:widowControl w:val="false"/>
              <w:spacing w:lineRule="auto" w:line="240" w:before="0" w:after="0"/>
              <w:ind w:left="708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Origem: América do Sul, Brasil</w:t>
            </w:r>
          </w:p>
          <w:p>
            <w:pPr>
              <w:pStyle w:val="Normal"/>
              <w:widowControl w:val="false"/>
              <w:spacing w:lineRule="auto" w:line="240" w:before="0" w:after="0"/>
              <w:ind w:left="708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Ciclo de vida: Perene</w:t>
            </w:r>
          </w:p>
          <w:p>
            <w:pPr>
              <w:pStyle w:val="Normal"/>
              <w:widowControl w:val="false"/>
              <w:spacing w:lineRule="auto" w:line="240" w:before="0" w:after="0"/>
              <w:ind w:left="708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Altura da árvore: a partir de 5 metros</w:t>
            </w:r>
          </w:p>
          <w:p>
            <w:pPr>
              <w:pStyle w:val="Normal"/>
              <w:widowControl w:val="false"/>
              <w:spacing w:lineRule="auto" w:line="240" w:before="0" w:after="0"/>
              <w:ind w:left="708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lang w:eastAsia="pt-BR"/>
              </w:rPr>
              <w:t>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DAP: A partir de 15.7 cm</w:t>
            </w:r>
          </w:p>
        </w:tc>
        <w:tc>
          <w:tcPr>
            <w:tcW w:w="108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03</w:t>
            </w:r>
          </w:p>
        </w:tc>
      </w:tr>
      <w:tr>
        <w:trPr/>
        <w:tc>
          <w:tcPr>
            <w:tcW w:w="108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3.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         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21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JACARANDÁ MIMOSO</w:t>
            </w:r>
          </w:p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520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sz w:val="24"/>
                <w:szCs w:val="24"/>
                <w:lang w:eastAsia="pt-BR"/>
              </w:rPr>
              <w:t> 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Nome popular: Jacarandá Mimoso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Nome científico: Jacarandamimosifolia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Família: Bignoniaceae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Origem: América do Sul, Argentina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Ciclo de vida: Perene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Altura da árvore: a partir de 5 metros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DAP:  A partir de 15.7 cm</w:t>
            </w:r>
          </w:p>
        </w:tc>
        <w:tc>
          <w:tcPr>
            <w:tcW w:w="108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03</w:t>
            </w:r>
          </w:p>
        </w:tc>
      </w:tr>
      <w:tr>
        <w:trPr/>
        <w:tc>
          <w:tcPr>
            <w:tcW w:w="108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4.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         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21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ESCUMILHA AFRICANA</w:t>
            </w:r>
          </w:p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520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Autospacing="1" w:afterAutospacing="1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NOME CIENTIFICO: Lagerstroemia indica</w:t>
            </w:r>
          </w:p>
          <w:p>
            <w:pPr>
              <w:pStyle w:val="Normal"/>
              <w:widowControl w:val="false"/>
              <w:spacing w:lineRule="auto" w:line="240" w:beforeAutospacing="1" w:afterAutospacing="1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NOME(S) POPULAR(ES): Resedá, Extremosa, Estremosa, Escumilha, Árvore-de-júpiter, Julieta, Flor-de-merenda-vermelha, Suspiros, Mumiquilho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FAMILIA (Cronquist): Lythraceae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Altura da árvore: a partir de 5 metros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DAP:  A partir de 15.7 cm</w:t>
            </w:r>
          </w:p>
        </w:tc>
        <w:tc>
          <w:tcPr>
            <w:tcW w:w="108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01</w:t>
            </w:r>
          </w:p>
        </w:tc>
      </w:tr>
      <w:tr>
        <w:trPr/>
        <w:tc>
          <w:tcPr>
            <w:tcW w:w="108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5.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         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21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SIBIPIRUNA</w:t>
            </w:r>
          </w:p>
        </w:tc>
        <w:tc>
          <w:tcPr>
            <w:tcW w:w="520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Autospacing="1" w:afterAutospacing="1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Nome Científico: Caesalpiniapeltophoroides</w:t>
            </w:r>
          </w:p>
          <w:p>
            <w:pPr>
              <w:pStyle w:val="Normal"/>
              <w:widowControl w:val="false"/>
              <w:spacing w:lineRule="auto" w:line="240" w:beforeAutospacing="1" w:afterAutospacing="1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Nomes Populares: Sibipiruna, Coração-de-negro, Sebipira, Sibipira</w:t>
            </w:r>
          </w:p>
          <w:p>
            <w:pPr>
              <w:pStyle w:val="Normal"/>
              <w:widowControl w:val="false"/>
              <w:spacing w:lineRule="auto" w:line="240" w:beforeAutospacing="1" w:afterAutospacing="1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Família: Fabaceae</w:t>
            </w:r>
          </w:p>
          <w:p>
            <w:pPr>
              <w:pStyle w:val="Normal"/>
              <w:widowControl w:val="false"/>
              <w:spacing w:lineRule="auto" w:line="240" w:beforeAutospacing="1" w:afterAutospacing="1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Categoria: Árvores, Árvores Ornamentais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Ciclo de Vida: Perene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Altura da árvore: a partir de 5 metros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DAP :  A partir de 15.7 cm</w:t>
            </w:r>
          </w:p>
        </w:tc>
        <w:tc>
          <w:tcPr>
            <w:tcW w:w="108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04</w:t>
            </w:r>
          </w:p>
        </w:tc>
      </w:tr>
      <w:tr>
        <w:trPr/>
        <w:tc>
          <w:tcPr>
            <w:tcW w:w="108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6.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         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21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CICAS</w:t>
            </w:r>
          </w:p>
        </w:tc>
        <w:tc>
          <w:tcPr>
            <w:tcW w:w="520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ind w:left="720" w:hanging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lang w:eastAsia="pt-BR"/>
              </w:rPr>
              <w:t>         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pt-BR"/>
              </w:rPr>
              <w:t>Nome Científico: Cycas revoluta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lang w:eastAsia="pt-BR"/>
              </w:rPr>
              <w:t>         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pt-BR"/>
              </w:rPr>
              <w:t>Nomes Populares: Cica, Palmeira-sagu, Sagu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lang w:eastAsia="pt-BR"/>
              </w:rPr>
              <w:t>         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pt-BR"/>
              </w:rPr>
              <w:t>Família: Cicadaceae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lang w:eastAsia="pt-BR"/>
              </w:rPr>
              <w:t>         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pt-BR"/>
              </w:rPr>
              <w:t>Ciclo de Vida: Perene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Altura da árvore: a partir de 1,50 metros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108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05</w:t>
            </w:r>
          </w:p>
        </w:tc>
      </w:tr>
      <w:tr>
        <w:trPr/>
        <w:tc>
          <w:tcPr>
            <w:tcW w:w="108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7.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         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21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ALDRAGO</w:t>
            </w:r>
          </w:p>
        </w:tc>
        <w:tc>
          <w:tcPr>
            <w:tcW w:w="520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 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textAlignment w:val="baseline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pt-BR"/>
              </w:rPr>
              <w:t>Nome Científico: 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(</w:t>
            </w:r>
            <w:r>
              <w:rPr>
                <w:rFonts w:eastAsia="Times New Roman" w:cs="Times New Roman" w:ascii="Times New Roman" w:hAnsi="Times New Roman"/>
                <w:b/>
                <w:bCs/>
                <w:i/>
                <w:iCs/>
                <w:color w:val="000000"/>
                <w:sz w:val="24"/>
                <w:szCs w:val="24"/>
                <w:lang w:eastAsia="pt-BR"/>
              </w:rPr>
              <w:t>Pterocarpusviolaceus)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textAlignment w:val="baseline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Família: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Legominosae-Papilionoidae (Fabaceae)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textAlignment w:val="baseline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Outros nomes populares: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Aldrago Miúdo, Dragociana, Folha Larga, Sangueiro, Pau Sangue, Pau Vidro.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textAlignment w:val="baseline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b/>
                <w:bCs/>
                <w:color w:val="000000"/>
                <w:sz w:val="24"/>
                <w:szCs w:val="24"/>
                <w:lang w:eastAsia="pt-BR"/>
              </w:rPr>
              <w:t>Outros nomes científicos: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Pterocarpusrohrii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C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pt-BR"/>
              </w:rPr>
              <w:t>iclo de Vida: Perene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jc w:val="both"/>
              <w:rPr>
                <w:rFonts w:ascii="Times New Roman" w:hAnsi="Times New Roman" w:eastAsia="Times New Roman" w:cs="Times New Roman"/>
                <w:sz w:val="24"/>
                <w:szCs w:val="24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szCs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Altura da árvore: a partir de 5 metros</w:t>
            </w:r>
          </w:p>
          <w:p>
            <w:pPr>
              <w:pStyle w:val="Normal"/>
              <w:widowControl w:val="false"/>
              <w:spacing w:lineRule="auto" w:line="240" w:before="0" w:after="0"/>
              <w:ind w:left="720" w:hanging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Symbol" w:hAnsi="Symbol"/>
                <w:color w:val="000000"/>
                <w:sz w:val="24"/>
                <w:szCs w:val="24"/>
                <w:lang w:eastAsia="pt-BR"/>
              </w:rPr>
              <w:t></w:t>
            </w:r>
            <w:r>
              <w:rPr>
                <w:rFonts w:eastAsia="Times New Roman" w:cs="Times New Roman" w:ascii="Times New Roman" w:hAnsi="Times New Roman"/>
                <w:color w:val="000000"/>
                <w:sz w:val="14"/>
                <w:lang w:eastAsia="pt-BR"/>
              </w:rPr>
              <w:t>         </w:t>
            </w:r>
            <w:r>
              <w:rPr>
                <w:rFonts w:eastAsia="Times New Roman" w:cs="Times New Roman" w:ascii="Times New Roman" w:hAnsi="Times New Roman"/>
                <w:color w:val="000000"/>
                <w:sz w:val="24"/>
                <w:szCs w:val="24"/>
                <w:lang w:eastAsia="pt-BR"/>
              </w:rPr>
              <w:t>DAP: A partir de 15.7 cm</w:t>
            </w:r>
          </w:p>
          <w:p>
            <w:pPr>
              <w:pStyle w:val="Normal"/>
              <w:widowControl w:val="false"/>
              <w:spacing w:lineRule="auto" w:line="240" w:before="0" w:after="0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pt-BR"/>
              </w:rPr>
              <w:t> </w:t>
            </w:r>
          </w:p>
        </w:tc>
        <w:tc>
          <w:tcPr>
            <w:tcW w:w="108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Times New Roman" w:hAnsi="Times New Roman"/>
                <w:b/>
                <w:bCs/>
                <w:sz w:val="24"/>
                <w:szCs w:val="24"/>
                <w:lang w:eastAsia="pt-BR"/>
              </w:rPr>
              <w:t>02</w:t>
            </w:r>
          </w:p>
        </w:tc>
      </w:tr>
      <w:tr>
        <w:trPr/>
        <w:tc>
          <w:tcPr>
            <w:tcW w:w="108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ind w:left="360" w:hanging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Arial" w:ascii="Arial" w:hAnsi="Arial"/>
                <w:b/>
                <w:bCs/>
                <w:color w:val="000000"/>
                <w:sz w:val="18"/>
                <w:szCs w:val="18"/>
                <w:lang w:eastAsia="pt-BR"/>
              </w:rPr>
              <w:t> </w:t>
            </w:r>
          </w:p>
        </w:tc>
        <w:tc>
          <w:tcPr>
            <w:tcW w:w="2176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center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Cambria" w:hAnsi="Cambria"/>
                <w:b/>
                <w:bCs/>
                <w:sz w:val="24"/>
                <w:szCs w:val="24"/>
                <w:lang w:eastAsia="pt-BR"/>
              </w:rPr>
              <w:t>TOTAL</w:t>
            </w:r>
          </w:p>
        </w:tc>
        <w:tc>
          <w:tcPr>
            <w:tcW w:w="5208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Cambria" w:hAnsi="Cambria"/>
                <w:sz w:val="20"/>
                <w:szCs w:val="20"/>
                <w:lang w:eastAsia="pt-BR"/>
              </w:rPr>
              <w:t> </w:t>
            </w:r>
          </w:p>
        </w:tc>
        <w:tc>
          <w:tcPr>
            <w:tcW w:w="1083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Normal"/>
              <w:widowControl w:val="false"/>
              <w:spacing w:lineRule="auto" w:line="240" w:before="0" w:after="0"/>
              <w:jc w:val="both"/>
              <w:rPr>
                <w:rFonts w:ascii="Calibri" w:hAnsi="Calibri" w:eastAsia="Times New Roman" w:cs="Times New Roman"/>
                <w:lang w:eastAsia="pt-BR"/>
              </w:rPr>
            </w:pPr>
            <w:r>
              <w:rPr>
                <w:rFonts w:eastAsia="Times New Roman" w:cs="Times New Roman" w:ascii="Cambria" w:hAnsi="Cambria"/>
                <w:b/>
                <w:bCs/>
                <w:sz w:val="20"/>
                <w:szCs w:val="20"/>
                <w:lang w:eastAsia="pt-BR"/>
              </w:rPr>
              <w:t>26</w:t>
            </w:r>
          </w:p>
        </w:tc>
      </w:tr>
    </w:tbl>
    <w:p>
      <w:pPr>
        <w:pStyle w:val="BodyText2"/>
        <w:spacing w:lineRule="auto" w:line="360"/>
        <w:jc w:val="both"/>
        <w:rPr>
          <w:rFonts w:ascii="Arial" w:hAnsi="Arial" w:cs="Arial"/>
          <w:bCs/>
          <w:sz w:val="22"/>
          <w:szCs w:val="22"/>
        </w:rPr>
      </w:pPr>
      <w:r>
        <w:rPr>
          <w:rFonts w:cs="Arial" w:ascii="Arial" w:hAnsi="Arial"/>
          <w:bCs/>
          <w:sz w:val="22"/>
          <w:szCs w:val="22"/>
        </w:rPr>
      </w:r>
    </w:p>
    <w:p>
      <w:pPr>
        <w:pStyle w:val="BodyText2"/>
        <w:spacing w:lineRule="auto" w:line="360"/>
        <w:jc w:val="both"/>
        <w:rPr>
          <w:rFonts w:ascii="Arial" w:hAnsi="Arial" w:cs="Arial"/>
          <w:bCs/>
          <w:sz w:val="22"/>
          <w:szCs w:val="22"/>
        </w:rPr>
      </w:pPr>
      <w:r>
        <w:rPr>
          <w:rFonts w:cs="Arial" w:ascii="Arial" w:hAnsi="Arial"/>
          <w:bCs/>
          <w:sz w:val="22"/>
          <w:szCs w:val="22"/>
        </w:rPr>
      </w:r>
    </w:p>
    <w:p>
      <w:pPr>
        <w:pStyle w:val="Normal"/>
        <w:spacing w:lineRule="auto" w:line="360"/>
        <w:jc w:val="both"/>
        <w:rPr>
          <w:rFonts w:ascii="Arial" w:hAnsi="Arial" w:cs="Arial"/>
          <w:b/>
          <w:b/>
        </w:rPr>
      </w:pPr>
      <w:r>
        <w:rPr>
          <w:rFonts w:cs="Arial" w:ascii="Arial" w:hAnsi="Arial"/>
          <w:b/>
        </w:rPr>
        <w:t>Primeira etapa</w:t>
      </w:r>
    </w:p>
    <w:p>
      <w:pPr>
        <w:pStyle w:val="Normal"/>
        <w:spacing w:lineRule="auto" w:line="360"/>
        <w:jc w:val="both"/>
        <w:rPr>
          <w:rFonts w:ascii="Arial" w:hAnsi="Arial" w:cs="Arial"/>
          <w:bCs/>
        </w:rPr>
      </w:pPr>
      <w:r>
        <w:rPr>
          <w:rFonts w:cs="Arial" w:ascii="Arial" w:hAnsi="Arial"/>
        </w:rPr>
        <w:tab/>
        <w:t>Faze-se necessário a demolição do piso da praça e</w:t>
      </w:r>
      <w:r>
        <w:rPr>
          <w:rFonts w:cs="Arial" w:ascii="Arial" w:hAnsi="Arial"/>
          <w:bCs/>
        </w:rPr>
        <w:t xml:space="preserve"> limpeza de toda a área, assim como a retirada e destinação correta do entulho gerado pela demolição.</w:t>
      </w:r>
    </w:p>
    <w:p>
      <w:pPr>
        <w:pStyle w:val="BodyText2"/>
        <w:spacing w:lineRule="auto" w:line="360"/>
        <w:jc w:val="both"/>
        <w:rPr>
          <w:rFonts w:ascii="Arial" w:hAnsi="Arial" w:cs="Arial"/>
          <w:sz w:val="22"/>
          <w:szCs w:val="22"/>
        </w:rPr>
      </w:pPr>
      <w:r>
        <w:rPr>
          <w:rFonts w:cs="Arial" w:ascii="Arial" w:hAnsi="Arial"/>
          <w:sz w:val="22"/>
          <w:szCs w:val="22"/>
        </w:rPr>
        <w:t>- Demolição de piso de cimentado ou contra piso de argamassa espessura máx.10 cm.</w:t>
      </w:r>
    </w:p>
    <w:p>
      <w:pPr>
        <w:pStyle w:val="Normal"/>
        <w:spacing w:lineRule="auto" w:line="360"/>
        <w:jc w:val="both"/>
        <w:rPr>
          <w:rFonts w:ascii="Arial" w:hAnsi="Arial" w:cs="Arial"/>
          <w:b/>
          <w:b/>
        </w:rPr>
      </w:pPr>
      <w:r>
        <w:rPr>
          <w:rFonts w:cs="Arial" w:ascii="Arial" w:hAnsi="Arial"/>
          <w:b/>
        </w:rPr>
        <w:t>Segunda etapa</w:t>
      </w:r>
    </w:p>
    <w:p>
      <w:pPr>
        <w:pStyle w:val="Normal"/>
        <w:spacing w:lineRule="auto" w:line="360"/>
        <w:jc w:val="both"/>
        <w:rPr>
          <w:rFonts w:ascii="Arial" w:hAnsi="Arial" w:cs="Arial"/>
          <w:bCs/>
        </w:rPr>
      </w:pPr>
      <w:r>
        <w:rPr>
          <w:rFonts w:cs="Arial" w:ascii="Arial" w:hAnsi="Arial"/>
          <w:bCs/>
        </w:rPr>
        <w:t>Tal etapa consiste na execução assentamento de  piso intertravado PAVI S.</w:t>
      </w:r>
    </w:p>
    <w:p>
      <w:pPr>
        <w:pStyle w:val="BodyText2"/>
        <w:spacing w:lineRule="auto" w:line="360"/>
        <w:jc w:val="both"/>
        <w:rPr>
          <w:rFonts w:ascii="Arial" w:hAnsi="Arial" w:cs="Arial"/>
          <w:b/>
          <w:b/>
        </w:rPr>
      </w:pPr>
      <w:r>
        <w:rPr>
          <w:rFonts w:cs="Arial" w:ascii="Arial" w:hAnsi="Arial"/>
          <w:b/>
        </w:rPr>
      </w:r>
    </w:p>
    <w:p>
      <w:pPr>
        <w:pStyle w:val="BodyText2"/>
        <w:spacing w:lineRule="auto" w:line="360"/>
        <w:jc w:val="both"/>
        <w:rPr>
          <w:rFonts w:ascii="Arial" w:hAnsi="Arial" w:cs="Arial"/>
          <w:b/>
          <w:b/>
        </w:rPr>
      </w:pPr>
      <w:r>
        <w:rPr>
          <w:rFonts w:cs="Arial" w:ascii="Arial" w:hAnsi="Arial"/>
          <w:b/>
        </w:rPr>
        <w:t xml:space="preserve">3.5 - </w:t>
      </w:r>
      <w:r>
        <w:rPr>
          <w:rFonts w:cs="Arial" w:ascii="Arial" w:hAnsi="Arial"/>
          <w:b/>
        </w:rPr>
        <w:t xml:space="preserve">PINTURA: </w:t>
      </w:r>
    </w:p>
    <w:p>
      <w:pPr>
        <w:pStyle w:val="BodyText2"/>
        <w:spacing w:lineRule="auto" w:line="360"/>
        <w:jc w:val="both"/>
        <w:rPr>
          <w:rFonts w:ascii="Arial" w:hAnsi="Arial" w:cs="Arial"/>
          <w:sz w:val="22"/>
          <w:szCs w:val="22"/>
        </w:rPr>
      </w:pPr>
      <w:r>
        <w:rPr>
          <w:rFonts w:cs="Arial" w:ascii="Arial" w:hAnsi="Arial"/>
          <w:sz w:val="22"/>
          <w:szCs w:val="22"/>
        </w:rPr>
        <w:tab/>
        <w:t xml:space="preserve">A pintura da quadra consiste nas muretas e a demarcação das modalidades esportivaspara a melhor utilização. </w:t>
      </w:r>
    </w:p>
    <w:p>
      <w:pPr>
        <w:pStyle w:val="Normal"/>
        <w:spacing w:lineRule="auto" w:line="360"/>
        <w:jc w:val="both"/>
        <w:rPr>
          <w:rFonts w:ascii="Arial" w:hAnsi="Arial" w:cs="Arial"/>
        </w:rPr>
      </w:pPr>
      <w:r>
        <w:rPr>
          <w:rFonts w:cs="Arial" w:ascii="Arial" w:hAnsi="Arial"/>
          <w:bCs/>
        </w:rPr>
        <w:tab/>
        <w:t>O m</w:t>
      </w:r>
      <w:r>
        <w:rPr>
          <w:rFonts w:cs="Arial" w:ascii="Arial" w:hAnsi="Arial"/>
        </w:rPr>
        <w:t>aterial a ser usado para pintura e pintura de demarcação para quadra poliesportiva conforme planilha orçamentária em anexo:</w:t>
      </w:r>
    </w:p>
    <w:p>
      <w:pPr>
        <w:pStyle w:val="BodyText2"/>
        <w:spacing w:lineRule="auto" w:line="360"/>
        <w:jc w:val="both"/>
        <w:rPr>
          <w:rFonts w:ascii="Arial" w:hAnsi="Arial" w:cs="Arial"/>
          <w:sz w:val="22"/>
          <w:szCs w:val="22"/>
        </w:rPr>
      </w:pPr>
      <w:r>
        <w:rPr>
          <w:rFonts w:cs="Arial" w:ascii="Arial" w:hAnsi="Arial"/>
          <w:sz w:val="22"/>
          <w:szCs w:val="22"/>
        </w:rPr>
        <w:t>- Pintura acrílica de piso de quadra esportiva;</w:t>
      </w:r>
    </w:p>
    <w:p>
      <w:pPr>
        <w:pStyle w:val="BodyText2"/>
        <w:spacing w:lineRule="auto" w:line="360"/>
        <w:jc w:val="both"/>
        <w:rPr>
          <w:rFonts w:ascii="Arial" w:hAnsi="Arial" w:cs="Arial"/>
          <w:sz w:val="22"/>
          <w:szCs w:val="22"/>
        </w:rPr>
      </w:pPr>
      <w:r>
        <w:rPr>
          <w:rFonts w:cs="Arial" w:ascii="Arial" w:hAnsi="Arial"/>
          <w:sz w:val="22"/>
          <w:szCs w:val="22"/>
        </w:rPr>
        <w:t>- Pintura acrílica de faixa de demarcação em quadra poliesportiva de largura 5 cm (futsal e vôlei).</w:t>
      </w:r>
    </w:p>
    <w:p>
      <w:pPr>
        <w:pStyle w:val="BodyText2"/>
        <w:spacing w:lineRule="auto" w:line="360"/>
        <w:jc w:val="both"/>
        <w:rPr>
          <w:rFonts w:ascii="Arial" w:hAnsi="Arial" w:cs="Arial"/>
          <w:b/>
          <w:b/>
        </w:rPr>
      </w:pPr>
      <w:r>
        <w:rPr>
          <w:rFonts w:cs="Arial" w:ascii="Arial" w:hAnsi="Arial"/>
          <w:b/>
        </w:rPr>
      </w:r>
    </w:p>
    <w:p>
      <w:pPr>
        <w:pStyle w:val="BodyText2"/>
        <w:spacing w:lineRule="auto" w:line="360"/>
        <w:jc w:val="both"/>
        <w:rPr>
          <w:rFonts w:ascii="Arial" w:hAnsi="Arial" w:cs="Arial"/>
          <w:b/>
          <w:b/>
        </w:rPr>
      </w:pPr>
      <w:r>
        <w:rPr>
          <w:rFonts w:cs="Arial" w:ascii="Arial" w:hAnsi="Arial"/>
          <w:b/>
        </w:rPr>
      </w:r>
    </w:p>
    <w:p>
      <w:pPr>
        <w:pStyle w:val="BodyText2"/>
        <w:spacing w:lineRule="auto" w:line="360"/>
        <w:jc w:val="both"/>
        <w:rPr>
          <w:rFonts w:ascii="Arial" w:hAnsi="Arial" w:cs="Arial"/>
          <w:b/>
          <w:b/>
        </w:rPr>
      </w:pPr>
      <w:r>
        <w:rPr>
          <w:rFonts w:cs="Arial" w:ascii="Arial" w:hAnsi="Arial"/>
          <w:b/>
        </w:rPr>
      </w:r>
    </w:p>
    <w:p>
      <w:pPr>
        <w:pStyle w:val="BodyText2"/>
        <w:spacing w:lineRule="auto" w:line="360"/>
        <w:jc w:val="both"/>
        <w:rPr>
          <w:rFonts w:ascii="Arial" w:hAnsi="Arial" w:cs="Arial"/>
          <w:b/>
          <w:b/>
        </w:rPr>
      </w:pPr>
      <w:r>
        <w:rPr>
          <w:rFonts w:cs="Arial" w:ascii="Arial" w:hAnsi="Arial"/>
          <w:b/>
        </w:rPr>
        <w:t xml:space="preserve">4.0 - </w:t>
      </w:r>
      <w:r>
        <w:rPr>
          <w:rFonts w:cs="Arial" w:ascii="Arial" w:hAnsi="Arial"/>
          <w:b/>
        </w:rPr>
        <w:t>CONSIDERAÇÕES FINAIS</w:t>
      </w:r>
    </w:p>
    <w:p>
      <w:pPr>
        <w:pStyle w:val="BodyText2"/>
        <w:spacing w:lineRule="auto" w:line="360"/>
        <w:jc w:val="both"/>
        <w:rPr>
          <w:rFonts w:ascii="Arial" w:hAnsi="Arial" w:cs="Arial"/>
          <w:b/>
          <w:b/>
        </w:rPr>
      </w:pPr>
      <w:r>
        <w:rPr/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</w:rPr>
      </w:pPr>
      <w:r>
        <w:rPr>
          <w:rFonts w:cs="Arial" w:ascii="Arial" w:hAnsi="Arial"/>
        </w:rPr>
        <w:tab/>
        <w:t>Com tais procedimentos executados com qualidade, atenção e comprometimento se espera que a população da cidade possa usufruir dos espaços internos da praça eda quadra em atividades esportivas. Melhorando assim a qualidade de vida das pessoas e a apropriação do espaço público.</w:t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Araçuaí, 04 de Outubro de 2021.</w:t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pacing w:lineRule="auto" w:line="360" w:before="0" w:after="0"/>
        <w:jc w:val="both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</w:r>
    </w:p>
    <w:p>
      <w:pPr>
        <w:pStyle w:val="Normal"/>
        <w:spacing w:lineRule="auto" w:line="360" w:before="0" w:after="0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Géssica Maria Santos Andrade</w:t>
      </w:r>
    </w:p>
    <w:p>
      <w:pPr>
        <w:pStyle w:val="Normal"/>
        <w:spacing w:lineRule="auto" w:line="360" w:before="0" w:after="0"/>
        <w:jc w:val="center"/>
        <w:rPr>
          <w:rFonts w:ascii="Arial" w:hAnsi="Arial" w:cs="Arial"/>
          <w:sz w:val="24"/>
          <w:szCs w:val="24"/>
        </w:rPr>
      </w:pPr>
      <w:r>
        <w:rPr>
          <w:rFonts w:cs="Arial" w:ascii="Arial" w:hAnsi="Arial"/>
          <w:sz w:val="24"/>
          <w:szCs w:val="24"/>
        </w:rPr>
        <w:t>Eng. Civil – CREA/MG 195775/D</w:t>
      </w:r>
    </w:p>
    <w:sectPr>
      <w:headerReference w:type="default" r:id="rId2"/>
      <w:footerReference w:type="default" r:id="rId3"/>
      <w:type w:val="nextPage"/>
      <w:pgSz w:w="11906" w:h="16838"/>
      <w:pgMar w:left="1701" w:right="1701" w:gutter="0" w:header="426" w:top="2665" w:footer="0" w:bottom="426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Tahoma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TT15Ct00">
    <w:charset w:val="00"/>
    <w:family w:val="roman"/>
    <w:pitch w:val="variable"/>
  </w:font>
  <w:font w:name="Arial">
    <w:charset w:val="00"/>
    <w:family w:val="roman"/>
    <w:pitch w:val="variable"/>
  </w:font>
  <w:font w:name="Symbol">
    <w:charset w:val="00"/>
    <w:family w:val="roman"/>
    <w:pitch w:val="variable"/>
  </w:font>
  <w:font w:name="Cambria">
    <w:charset w:val="00"/>
    <w:family w:val="roman"/>
    <w:pitch w:val="variable"/>
  </w:font>
  <w:font w:name="Wingdings">
    <w:charset w:val="02"/>
    <w:family w:val="auto"/>
    <w:pitch w:val="variable"/>
  </w:font>
  <w:font w:name="Courier New">
    <w:charset w:val="01"/>
    <w:family w:val="modern"/>
    <w:pitch w:val="fixed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sdt>
    <w:sdtPr>
      <w:docPartObj>
        <w:docPartGallery w:val="Page Numbers (Bottom of Page)"/>
        <w:docPartUnique w:val="true"/>
      </w:docPartObj>
      <w:id w:val="176053368"/>
    </w:sdtPr>
    <w:sdtContent>
      <w:p>
        <w:pPr>
          <w:pStyle w:val="Rodap"/>
          <w:jc w:val="right"/>
          <w:rPr/>
        </w:pPr>
        <w:r>
          <w:rPr/>
          <w:fldChar w:fldCharType="begin"/>
        </w:r>
        <w:r>
          <w:rPr/>
          <w:instrText> PAGE </w:instrText>
        </w:r>
        <w:r>
          <w:rPr/>
          <w:fldChar w:fldCharType="separate"/>
        </w:r>
        <w:r>
          <w:rPr/>
          <w:t>7</w:t>
        </w:r>
        <w:r>
          <w:rPr/>
          <w:fldChar w:fldCharType="end"/>
        </w:r>
      </w:p>
    </w:sdtContent>
  </w:sdt>
  <w:p>
    <w:pPr>
      <w:pStyle w:val="Rodap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tbl>
    <w:tblPr>
      <w:tblW w:w="8613" w:type="dxa"/>
      <w:jc w:val="left"/>
      <w:tblInd w:w="0" w:type="dxa"/>
      <w:tblLayout w:type="fixed"/>
      <w:tblCellMar>
        <w:top w:w="0" w:type="dxa"/>
        <w:left w:w="108" w:type="dxa"/>
        <w:bottom w:w="0" w:type="dxa"/>
        <w:right w:w="108" w:type="dxa"/>
      </w:tblCellMar>
      <w:tblLook w:val="04a0"/>
    </w:tblPr>
    <w:tblGrid>
      <w:gridCol w:w="2045"/>
      <w:gridCol w:w="6567"/>
    </w:tblGrid>
    <w:tr>
      <w:trPr>
        <w:trHeight w:val="1412" w:hRule="atLeast"/>
      </w:trPr>
      <w:tc>
        <w:tcPr>
          <w:tcW w:w="2045" w:type="dxa"/>
          <w:tcBorders/>
        </w:tcPr>
        <w:p>
          <w:pPr>
            <w:pStyle w:val="Cabealho"/>
            <w:widowControl w:val="false"/>
            <w:tabs>
              <w:tab w:val="clear" w:pos="4252"/>
              <w:tab w:val="right" w:pos="8504" w:leader="none"/>
            </w:tabs>
            <w:rPr>
              <w:rFonts w:ascii="Arial" w:hAnsi="Arial" w:cs="Arial"/>
              <w:b/>
              <w:b/>
              <w:bCs/>
              <w:sz w:val="32"/>
              <w:szCs w:val="32"/>
            </w:rPr>
          </w:pPr>
          <w:r>
            <w:rPr>
              <w:rFonts w:cs="Arial" w:ascii="Arial" w:hAnsi="Arial"/>
              <w:b/>
              <w:bCs/>
              <w:sz w:val="32"/>
              <w:szCs w:val="32"/>
            </w:rPr>
            <w:drawing>
              <wp:anchor behindDoc="1" distT="0" distB="0" distL="0" distR="0" simplePos="0" locked="0" layoutInCell="1" allowOverlap="1" relativeHeight="8">
                <wp:simplePos x="0" y="0"/>
                <wp:positionH relativeFrom="column">
                  <wp:posOffset>-51435</wp:posOffset>
                </wp:positionH>
                <wp:positionV relativeFrom="paragraph">
                  <wp:posOffset>-78105</wp:posOffset>
                </wp:positionV>
                <wp:extent cx="1134110" cy="990600"/>
                <wp:effectExtent l="0" t="0" r="0" b="0"/>
                <wp:wrapNone/>
                <wp:docPr id="1" name="Imagem 8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67" w:type="dxa"/>
          <w:tcBorders/>
          <w:vAlign w:val="center"/>
        </w:tcPr>
        <w:p>
          <w:pPr>
            <w:pStyle w:val="Cabealho"/>
            <w:widowControl w:val="false"/>
            <w:jc w:val="center"/>
            <w:rPr>
              <w:rFonts w:ascii="Arial" w:hAnsi="Arial" w:cs="Arial"/>
              <w:b/>
              <w:b/>
              <w:bCs/>
              <w:sz w:val="32"/>
              <w:szCs w:val="32"/>
            </w:rPr>
          </w:pPr>
          <w:r>
            <w:rPr>
              <w:rFonts w:cs="Arial" w:ascii="Arial" w:hAnsi="Arial"/>
              <w:b/>
              <w:bCs/>
              <w:sz w:val="32"/>
              <w:szCs w:val="32"/>
            </w:rPr>
            <w:drawing>
              <wp:anchor behindDoc="1" distT="0" distB="0" distL="0" distR="0" simplePos="0" locked="0" layoutInCell="1" allowOverlap="1" relativeHeight="15">
                <wp:simplePos x="0" y="0"/>
                <wp:positionH relativeFrom="column">
                  <wp:posOffset>188595</wp:posOffset>
                </wp:positionH>
                <wp:positionV relativeFrom="paragraph">
                  <wp:posOffset>-99695</wp:posOffset>
                </wp:positionV>
                <wp:extent cx="3542030" cy="942975"/>
                <wp:effectExtent l="0" t="0" r="0" b="0"/>
                <wp:wrapNone/>
                <wp:docPr id="2" name="Imagem 1" descr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m 1" descr="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 l="31869" t="33169" r="16092" b="42264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</w:p>
      </w:tc>
    </w:tr>
  </w:tbl>
  <w:p>
    <w:pPr>
      <w:pStyle w:val="Cabealho"/>
      <w:rPr>
        <w:b/>
        <w:b/>
        <w:bCs/>
        <w:sz w:val="28"/>
        <w:szCs w:val="28"/>
      </w:rPr>
    </w:pPr>
    <w:r>
      <w:rPr>
        <w:b/>
        <w:bCs/>
        <w:sz w:val="28"/>
        <w:szCs w:val="28"/>
      </w:rPr>
      <w:t xml:space="preserve">                                   </w:t>
    </w:r>
    <w:r>
      <w:rPr>
        <w:b/>
        <w:bCs/>
        <w:sz w:val="28"/>
        <w:szCs w:val="28"/>
      </w:rPr>
      <w:t>Secretaria Municipal de Desenvolvimento Urbano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75"/>
  <w:defaultTabStop w:val="708"/>
  <w:autoHyphenation w:val="true"/>
  <w:compat>
    <w:compatSetting w:name="compatibilityMode" w:uri="http://schemas.microsoft.com/office/word" w:val="12"/>
  </w:compat>
  <w:hyphenationZone w:val="425"/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pt-BR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Body Text 2" w:uiPriority="0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007220"/>
    <w:pPr>
      <w:widowControl/>
      <w:bidi w:val="0"/>
      <w:spacing w:lineRule="auto" w:line="276" w:before="0" w:after="20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pt-BR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c01fa2"/>
    <w:rPr>
      <w:rFonts w:ascii="Tahoma" w:hAnsi="Tahoma" w:cs="Tahoma"/>
      <w:sz w:val="16"/>
      <w:szCs w:val="16"/>
    </w:rPr>
  </w:style>
  <w:style w:type="character" w:styleId="Corpodetexto2Char" w:customStyle="1">
    <w:name w:val="Corpo de texto 2 Char"/>
    <w:basedOn w:val="DefaultParagraphFont"/>
    <w:link w:val="Corpodetexto2"/>
    <w:qFormat/>
    <w:rsid w:val="00840515"/>
    <w:rPr>
      <w:rFonts w:ascii="Times New Roman" w:hAnsi="Times New Roman" w:eastAsia="Times New Roman" w:cs="Times New Roman"/>
      <w:sz w:val="24"/>
      <w:szCs w:val="24"/>
      <w:lang w:eastAsia="pt-BR"/>
    </w:rPr>
  </w:style>
  <w:style w:type="character" w:styleId="CabealhoChar" w:customStyle="1">
    <w:name w:val="Cabeçalho Char"/>
    <w:basedOn w:val="DefaultParagraphFont"/>
    <w:link w:val="Cabealho"/>
    <w:uiPriority w:val="99"/>
    <w:qFormat/>
    <w:rsid w:val="00f0153e"/>
    <w:rPr/>
  </w:style>
  <w:style w:type="character" w:styleId="RodapChar" w:customStyle="1">
    <w:name w:val="Rodapé Char"/>
    <w:basedOn w:val="DefaultParagraphFont"/>
    <w:link w:val="Rodap"/>
    <w:uiPriority w:val="99"/>
    <w:qFormat/>
    <w:rsid w:val="00f0153e"/>
    <w:rPr/>
  </w:style>
  <w:style w:type="character" w:styleId="Strong">
    <w:name w:val="Strong"/>
    <w:basedOn w:val="DefaultParagraphFont"/>
    <w:uiPriority w:val="22"/>
    <w:qFormat/>
    <w:rsid w:val="00a5773c"/>
    <w:rPr>
      <w:b/>
      <w:bCs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Lucida Sans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Lucida Sans"/>
      <w:lang w:val="zxx" w:eastAsia="zxx" w:bidi="zxx"/>
    </w:rPr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c01fa2"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BodyText2">
    <w:name w:val="Body Text 2"/>
    <w:basedOn w:val="Normal"/>
    <w:link w:val="Corpodetexto2Char"/>
    <w:qFormat/>
    <w:rsid w:val="00840515"/>
    <w:pPr>
      <w:spacing w:lineRule="auto" w:line="480" w:before="0" w:after="120"/>
    </w:pPr>
    <w:rPr>
      <w:rFonts w:ascii="Times New Roman" w:hAnsi="Times New Roman" w:eastAsia="Times New Roman" w:cs="Times New Roman"/>
      <w:sz w:val="24"/>
      <w:szCs w:val="24"/>
      <w:lang w:eastAsia="pt-BR"/>
    </w:rPr>
  </w:style>
  <w:style w:type="paragraph" w:styleId="CabealhoeRodap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f0153e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f0153e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0601bb"/>
    <w:pPr>
      <w:spacing w:before="0" w:after="200"/>
      <w:ind w:left="720" w:hanging="0"/>
      <w:contextualSpacing/>
    </w:pPr>
    <w:rPr/>
  </w:style>
  <w:style w:type="paragraph" w:styleId="NormalWeb">
    <w:name w:val="Normal (Web)"/>
    <w:basedOn w:val="Normal"/>
    <w:uiPriority w:val="99"/>
    <w:unhideWhenUsed/>
    <w:qFormat/>
    <w:rsid w:val="00a5773c"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pt-BR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footer" Target="footer1.xml"/><Relationship Id="rId4" Type="http://schemas.openxmlformats.org/officeDocument/2006/relationships/numbering" Target="numbering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39C94C-E07A-4CB5-8923-C74053E05E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Application>LibreOffice/7.2.4.1$Windows_X86_64 LibreOffice_project/27d75539669ac387bb498e35313b970b7fe9c4f9</Application>
  <AppVersion>15.0000</AppVersion>
  <Pages>7</Pages>
  <Words>1437</Words>
  <Characters>7823</Characters>
  <CharactersWithSpaces>9683</CharactersWithSpaces>
  <Paragraphs>139</Paragraphs>
  <Company>Hewlett-Packard Company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2021-10-06T12:10:00Z</dcterms:created>
  <dc:creator>Lucinha</dc:creator>
  <dc:description/>
  <dc:language>pt-BR</dc:language>
  <cp:lastModifiedBy/>
  <cp:lastPrinted>2022-04-25T10:25:02Z</cp:lastPrinted>
  <dcterms:modified xsi:type="dcterms:W3CDTF">2022-04-25T10:28:05Z</dcterms:modified>
  <cp:revision>5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